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  <w:shd w:val="pct10" w:color="auto" w:fill="FFFFFF"/>
        </w:rPr>
        <w:t>812--</w:t>
      </w:r>
      <w:bookmarkStart w:id="0" w:name="《自动控制原理》考试大纲"/>
      <w:bookmarkEnd w:id="0"/>
      <w:r>
        <w:rPr>
          <w:rFonts w:hint="eastAsia" w:ascii="宋体" w:hAnsi="宋体" w:cs="宋体"/>
          <w:b/>
          <w:bCs/>
          <w:kern w:val="0"/>
          <w:szCs w:val="21"/>
          <w:shd w:val="pct10" w:color="auto" w:fill="FFFFFF"/>
        </w:rPr>
        <w:t>《自动控制原理》考试大纲</w:t>
      </w: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一、 基本要求 </w:t>
      </w: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掌握控制系统分析和综合基本方法，主要内容有传递函数和信号流图等数学模型的建立；系统稳定性、动态性能、稳态性能的时域分析；频域法和根轨迹法；系统串联校正的设计方法；</w:t>
      </w:r>
      <w:bookmarkStart w:id="1" w:name="_GoBack"/>
      <w:bookmarkEnd w:id="1"/>
      <w:r>
        <w:rPr>
          <w:rFonts w:hint="eastAsia" w:ascii="宋体" w:hAnsi="宋体"/>
          <w:kern w:val="0"/>
          <w:szCs w:val="21"/>
        </w:rPr>
        <w:t>系统状态空间建模及其求解；系统可控性和可观测性；线性定常系统状态反馈及观测器设计；李雅普诺夫稳定性理论。</w:t>
      </w: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二、 考试范围 </w:t>
      </w: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1． 自动控制的一般概念</w:t>
      </w: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（1）自动控制系统的定义、构成；       </w:t>
      </w: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（2）自动控制系统的基本控制方式；自动控制系统的分类；</w:t>
      </w: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（3）对控制系统的基本要求；</w:t>
      </w: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2． 控制系统的数学模型</w:t>
      </w: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（2）传递函数的定义、性质及典型环节的传递函数；</w:t>
      </w: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（3）信号流图的组成、建立及梅森增益公式；</w:t>
      </w: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（4）闭环系统的传递函数：输入量及扰动量作用下的传递函数、误差传递函数。</w:t>
      </w: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3．线性系统的时域分析法</w:t>
      </w: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（1）一阶系统动态性能；         </w:t>
      </w: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（2）二阶系统的动态性能：典型二阶系统的数学模型、欠阻尼阶跃响应、二阶系统的动态性能指标、二阶系统性能的改善； </w:t>
      </w: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（3）控制系统的稳定性分析及代数稳定判据；</w:t>
      </w: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（4）控制系统的稳态性能分析：稳态误差的定义、系统类型、稳态误差分析与静态误差系数。</w:t>
      </w: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4． 线性系统的根轨迹法</w:t>
      </w: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（1）根轨迹方程：幅值条件和相角条件；            </w:t>
      </w: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（2）180度根轨迹作图的一般规则、典型的零、极点分布及其相应的根轨迹；</w:t>
      </w: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（4）系统性能分析：稳定性分析、增加零、极点对根轨迹的影响、利用主导极点估计系统的性能指标；</w:t>
      </w: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5． 线性系统的频域分析法</w:t>
      </w: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（1）频率特性；            </w:t>
      </w: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（2）典型环节与开环系统的频率特性；        </w:t>
      </w: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（3）奈奎斯特稳定判据及应用；</w:t>
      </w: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（4）稳定裕度；</w:t>
      </w: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6． 线性系统的校正法</w:t>
      </w: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（1）校正装置：超前、滞后网络的特性；            </w:t>
      </w: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（2）系统校正的频率响应法：超前、滞后校正设计；           </w:t>
      </w: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（3）PID控制器：控制法则及对系统性能的影响。</w:t>
      </w: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7. 线性系统的状态空间分析与综合 </w:t>
      </w: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(1) </w:t>
      </w:r>
      <w:r>
        <w:rPr>
          <w:rFonts w:hint="eastAsia"/>
          <w:color w:val="000000"/>
        </w:rPr>
        <w:t>线性系统的状态空间描述：建立、转换、标准型</w:t>
      </w:r>
      <w:r>
        <w:rPr>
          <w:rFonts w:hint="eastAsia" w:ascii="宋体" w:hAnsi="宋体" w:cs="宋体"/>
          <w:kern w:val="0"/>
          <w:szCs w:val="21"/>
        </w:rPr>
        <w:t>；</w:t>
      </w:r>
      <w:r>
        <w:rPr>
          <w:rFonts w:hint="eastAsia"/>
          <w:color w:val="000000"/>
        </w:rPr>
        <w:t>线性系统的运动分析---状态方程的解</w:t>
      </w:r>
      <w:r>
        <w:rPr>
          <w:rFonts w:hint="eastAsia" w:ascii="宋体" w:hAnsi="宋体" w:cs="宋体"/>
          <w:kern w:val="0"/>
          <w:szCs w:val="21"/>
        </w:rPr>
        <w:t>；</w:t>
      </w: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(2) </w:t>
      </w:r>
      <w:r>
        <w:rPr>
          <w:rFonts w:hint="eastAsia" w:ascii="宋体" w:hAnsi="宋体"/>
          <w:szCs w:val="21"/>
        </w:rPr>
        <w:t>线性系统的可控性和可观测性</w:t>
      </w:r>
      <w:r>
        <w:rPr>
          <w:rFonts w:hint="eastAsia" w:ascii="宋体" w:hAnsi="宋体" w:cs="宋体"/>
          <w:kern w:val="0"/>
          <w:szCs w:val="21"/>
        </w:rPr>
        <w:t>；</w:t>
      </w: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(3) </w:t>
      </w:r>
      <w:r>
        <w:rPr>
          <w:rFonts w:hint="eastAsia" w:ascii="宋体" w:hAnsi="宋体"/>
          <w:szCs w:val="21"/>
        </w:rPr>
        <w:t>线性定常系统的线性变换</w:t>
      </w:r>
      <w:r>
        <w:rPr>
          <w:rFonts w:hint="eastAsia" w:ascii="宋体" w:hAnsi="宋体" w:cs="宋体"/>
          <w:kern w:val="0"/>
          <w:szCs w:val="21"/>
        </w:rPr>
        <w:t>；</w:t>
      </w: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(4) </w:t>
      </w:r>
      <w:r>
        <w:rPr>
          <w:rFonts w:hint="eastAsia" w:ascii="宋体" w:hAnsi="宋体"/>
          <w:szCs w:val="21"/>
        </w:rPr>
        <w:t>线性定常系统的</w:t>
      </w:r>
      <w:r>
        <w:rPr>
          <w:rFonts w:hint="eastAsia"/>
          <w:color w:val="000000"/>
        </w:rPr>
        <w:t>状态反馈极点配置</w:t>
      </w:r>
      <w:r>
        <w:rPr>
          <w:rFonts w:hint="eastAsia" w:ascii="宋体" w:hAnsi="宋体"/>
          <w:szCs w:val="21"/>
        </w:rPr>
        <w:t>和</w:t>
      </w:r>
      <w:r>
        <w:rPr>
          <w:rFonts w:hint="eastAsia"/>
          <w:color w:val="000000"/>
        </w:rPr>
        <w:t>全维</w:t>
      </w:r>
      <w:r>
        <w:rPr>
          <w:rFonts w:hint="eastAsia" w:ascii="宋体" w:hAnsi="宋体"/>
          <w:szCs w:val="21"/>
        </w:rPr>
        <w:t>状态观测器设计</w:t>
      </w:r>
      <w:r>
        <w:rPr>
          <w:rFonts w:hint="eastAsia" w:ascii="宋体" w:hAnsi="宋体" w:cs="宋体"/>
          <w:kern w:val="0"/>
          <w:szCs w:val="21"/>
        </w:rPr>
        <w:t>；</w:t>
      </w:r>
    </w:p>
    <w:p>
      <w:pPr>
        <w:widowControl/>
        <w:snapToGri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(5) </w:t>
      </w:r>
      <w:r>
        <w:rPr>
          <w:rFonts w:hint="eastAsia" w:ascii="宋体" w:hAnsi="宋体"/>
          <w:szCs w:val="21"/>
        </w:rPr>
        <w:t>李雅普诺夫稳定性分析。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5NDk5NjZmNjUwNWNlNTNmZjgzMTUyN2MwNDVjMmYifQ=="/>
  </w:docVars>
  <w:rsids>
    <w:rsidRoot w:val="00A03595"/>
    <w:rsid w:val="00476346"/>
    <w:rsid w:val="00612DB0"/>
    <w:rsid w:val="00A03595"/>
    <w:rsid w:val="00CD2920"/>
    <w:rsid w:val="00DF48C8"/>
    <w:rsid w:val="00FE12C6"/>
    <w:rsid w:val="17655915"/>
    <w:rsid w:val="2300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838</Words>
  <Characters>859</Characters>
  <Lines>6</Lines>
  <Paragraphs>1</Paragraphs>
  <TotalTime>89</TotalTime>
  <ScaleCrop>false</ScaleCrop>
  <LinksUpToDate>false</LinksUpToDate>
  <CharactersWithSpaces>947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2021-07-14T13:10:00Z</dcterms:created>
  <dc:creator>wxf@njupt.edu.cn</dc:creator>
  <cp:lastModifiedBy>W</cp:lastModifiedBy>
  <dcterms:modified xsi:type="dcterms:W3CDTF">2022-08-24T14:15:40Z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8109BB2D572A4611965240B98EA65525</vt:lpwstr>
  </property>
</Properties>
</file>